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BA" w:rsidRDefault="007021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21BA" w:rsidRDefault="007021BA">
      <w:pPr>
        <w:pStyle w:val="ConsPlusTitle"/>
        <w:jc w:val="center"/>
      </w:pPr>
    </w:p>
    <w:p w:rsidR="007021BA" w:rsidRDefault="007021BA">
      <w:pPr>
        <w:pStyle w:val="ConsPlusTitle"/>
        <w:jc w:val="center"/>
      </w:pPr>
      <w:r>
        <w:t>ПОСТАНОВЛЕНИЕ</w:t>
      </w:r>
    </w:p>
    <w:p w:rsidR="007021BA" w:rsidRDefault="007021BA">
      <w:pPr>
        <w:pStyle w:val="ConsPlusTitle"/>
        <w:jc w:val="center"/>
      </w:pPr>
      <w:r>
        <w:t>от 5 августа 2013 г. N 662</w:t>
      </w:r>
    </w:p>
    <w:p w:rsidR="007021BA" w:rsidRDefault="007021BA">
      <w:pPr>
        <w:pStyle w:val="ConsPlusTitle"/>
        <w:jc w:val="center"/>
      </w:pPr>
    </w:p>
    <w:p w:rsidR="007021BA" w:rsidRDefault="007021BA">
      <w:pPr>
        <w:pStyle w:val="ConsPlusTitle"/>
        <w:jc w:val="center"/>
      </w:pPr>
      <w:r>
        <w:t>ОБ ОСУЩЕСТВЛЕНИИ МОНИТОРИНГА СИСТЕМЫ ОБРАЗОВАНИЯ</w:t>
      </w:r>
    </w:p>
    <w:p w:rsidR="007021BA" w:rsidRDefault="007021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2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1BA" w:rsidRDefault="00702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1BA" w:rsidRDefault="007021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7021BA" w:rsidRDefault="007021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21BA" w:rsidRDefault="007021BA">
      <w:pPr>
        <w:pStyle w:val="ConsPlusNormal"/>
        <w:jc w:val="center"/>
      </w:pPr>
    </w:p>
    <w:p w:rsidR="007021BA" w:rsidRDefault="007021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021BA" w:rsidRDefault="007021BA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hyperlink w:anchor="P74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jc w:val="right"/>
      </w:pPr>
      <w:r>
        <w:t>Председатель Правительства</w:t>
      </w:r>
    </w:p>
    <w:p w:rsidR="007021BA" w:rsidRDefault="007021BA">
      <w:pPr>
        <w:pStyle w:val="ConsPlusNormal"/>
        <w:jc w:val="right"/>
      </w:pPr>
      <w:r>
        <w:t>Российской Федерации</w:t>
      </w:r>
    </w:p>
    <w:p w:rsidR="007021BA" w:rsidRDefault="007021BA">
      <w:pPr>
        <w:pStyle w:val="ConsPlusNormal"/>
        <w:jc w:val="right"/>
      </w:pPr>
      <w:r>
        <w:t>Д.МЕДВЕДЕВ</w:t>
      </w:r>
    </w:p>
    <w:p w:rsidR="007021BA" w:rsidRDefault="007021BA">
      <w:pPr>
        <w:pStyle w:val="ConsPlusNormal"/>
        <w:jc w:val="right"/>
      </w:pPr>
    </w:p>
    <w:p w:rsidR="007021BA" w:rsidRDefault="007021BA">
      <w:pPr>
        <w:pStyle w:val="ConsPlusNormal"/>
        <w:jc w:val="right"/>
      </w:pPr>
    </w:p>
    <w:p w:rsidR="007021BA" w:rsidRDefault="007021BA">
      <w:pPr>
        <w:pStyle w:val="ConsPlusNormal"/>
        <w:jc w:val="right"/>
      </w:pPr>
    </w:p>
    <w:p w:rsidR="007021BA" w:rsidRDefault="007021BA">
      <w:pPr>
        <w:pStyle w:val="ConsPlusNormal"/>
        <w:jc w:val="right"/>
      </w:pPr>
    </w:p>
    <w:p w:rsidR="007021BA" w:rsidRDefault="007021BA">
      <w:pPr>
        <w:pStyle w:val="ConsPlusNormal"/>
        <w:jc w:val="right"/>
      </w:pPr>
    </w:p>
    <w:p w:rsidR="007021BA" w:rsidRDefault="007021BA">
      <w:pPr>
        <w:pStyle w:val="ConsPlusNormal"/>
        <w:jc w:val="right"/>
        <w:outlineLvl w:val="0"/>
      </w:pPr>
      <w:r>
        <w:t>Утверждены</w:t>
      </w:r>
    </w:p>
    <w:p w:rsidR="007021BA" w:rsidRDefault="007021BA">
      <w:pPr>
        <w:pStyle w:val="ConsPlusNormal"/>
        <w:jc w:val="right"/>
      </w:pPr>
      <w:r>
        <w:t>постановлением Правительства</w:t>
      </w:r>
    </w:p>
    <w:p w:rsidR="007021BA" w:rsidRDefault="007021BA">
      <w:pPr>
        <w:pStyle w:val="ConsPlusNormal"/>
        <w:jc w:val="right"/>
      </w:pPr>
      <w:r>
        <w:t>Российской Федерации</w:t>
      </w:r>
    </w:p>
    <w:p w:rsidR="007021BA" w:rsidRDefault="007021BA">
      <w:pPr>
        <w:pStyle w:val="ConsPlusNormal"/>
        <w:jc w:val="right"/>
      </w:pPr>
      <w:r>
        <w:t>от 5 августа 2013 г. N 662</w:t>
      </w:r>
    </w:p>
    <w:p w:rsidR="007021BA" w:rsidRDefault="007021BA">
      <w:pPr>
        <w:pStyle w:val="ConsPlusNormal"/>
        <w:jc w:val="center"/>
      </w:pPr>
    </w:p>
    <w:p w:rsidR="007021BA" w:rsidRDefault="007021BA">
      <w:pPr>
        <w:pStyle w:val="ConsPlusTitle"/>
        <w:jc w:val="center"/>
      </w:pPr>
      <w:bookmarkStart w:id="0" w:name="P31"/>
      <w:bookmarkEnd w:id="0"/>
      <w:r>
        <w:t>ПРАВИЛА ОСУЩЕСТВЛЕНИЯ МОНИТОРИНГА СИСТЕМЫ ОБРАЗОВАНИЯ</w:t>
      </w:r>
    </w:p>
    <w:p w:rsidR="007021BA" w:rsidRDefault="007021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2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1BA" w:rsidRDefault="00702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1BA" w:rsidRDefault="007021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657)</w:t>
            </w:r>
          </w:p>
        </w:tc>
      </w:tr>
    </w:tbl>
    <w:p w:rsidR="007021BA" w:rsidRDefault="007021BA">
      <w:pPr>
        <w:pStyle w:val="ConsPlusNormal"/>
        <w:jc w:val="center"/>
      </w:pPr>
    </w:p>
    <w:p w:rsidR="007021BA" w:rsidRDefault="007021BA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</w:t>
      </w:r>
      <w:r>
        <w:lastRenderedPageBreak/>
        <w:t>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7021BA" w:rsidRDefault="007021BA">
      <w:pPr>
        <w:pStyle w:val="ConsPlusNormal"/>
        <w:spacing w:before="220"/>
        <w:ind w:firstLine="540"/>
        <w:jc w:val="both"/>
      </w:pPr>
      <w:bookmarkStart w:id="1" w:name="P38"/>
      <w:bookmarkEnd w:id="1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7021BA" w:rsidRDefault="007021BA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Показатели мониторинга и </w:t>
      </w:r>
      <w:hyperlink r:id="rId8" w:history="1">
        <w:r>
          <w:rPr>
            <w:color w:val="0000FF"/>
          </w:rPr>
          <w:t>методика</w:t>
        </w:r>
      </w:hyperlink>
      <w:r>
        <w:t xml:space="preserve">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74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указанного перечня.</w:t>
      </w:r>
    </w:p>
    <w:p w:rsidR="007021BA" w:rsidRDefault="007021B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Показатели</w:t>
        </w:r>
      </w:hyperlink>
      <w:r>
        <w:t xml:space="preserve"> мониторинга и </w:t>
      </w:r>
      <w:hyperlink r:id="rId10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7021BA" w:rsidRDefault="007021BA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12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3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</w:t>
      </w:r>
      <w:r>
        <w:lastRenderedPageBreak/>
        <w:t>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7021BA" w:rsidRDefault="007021BA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74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7021BA" w:rsidRDefault="007021B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Порядок проведения мониторинга федеральных государственных организаций </w:t>
      </w:r>
      <w:r>
        <w:lastRenderedPageBreak/>
        <w:t>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7" w:history="1">
        <w:r>
          <w:rPr>
            <w:color w:val="0000FF"/>
          </w:rPr>
          <w:t>формам</w:t>
        </w:r>
      </w:hyperlink>
      <w:r>
        <w:t xml:space="preserve"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178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7021BA" w:rsidRDefault="007021B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 w:rsidR="007021BA" w:rsidRDefault="007021B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7021BA" w:rsidRDefault="007021BA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jc w:val="right"/>
        <w:outlineLvl w:val="0"/>
      </w:pPr>
      <w:r>
        <w:t>Утвержден</w:t>
      </w:r>
    </w:p>
    <w:p w:rsidR="007021BA" w:rsidRDefault="007021BA">
      <w:pPr>
        <w:pStyle w:val="ConsPlusNormal"/>
        <w:jc w:val="right"/>
      </w:pPr>
      <w:r>
        <w:t>постановлением Правительства</w:t>
      </w:r>
    </w:p>
    <w:p w:rsidR="007021BA" w:rsidRDefault="007021BA">
      <w:pPr>
        <w:pStyle w:val="ConsPlusNormal"/>
        <w:jc w:val="right"/>
      </w:pPr>
      <w:r>
        <w:t>Российской Федерации</w:t>
      </w:r>
    </w:p>
    <w:p w:rsidR="007021BA" w:rsidRDefault="007021BA">
      <w:pPr>
        <w:pStyle w:val="ConsPlusNormal"/>
        <w:jc w:val="right"/>
      </w:pPr>
      <w:r>
        <w:t>от 5 августа 2013 г. N 662</w:t>
      </w:r>
    </w:p>
    <w:p w:rsidR="007021BA" w:rsidRDefault="007021BA">
      <w:pPr>
        <w:pStyle w:val="ConsPlusNormal"/>
        <w:jc w:val="center"/>
      </w:pPr>
    </w:p>
    <w:p w:rsidR="007021BA" w:rsidRDefault="007021BA">
      <w:pPr>
        <w:pStyle w:val="ConsPlusTitle"/>
        <w:jc w:val="center"/>
      </w:pPr>
      <w:bookmarkStart w:id="3" w:name="P74"/>
      <w:bookmarkEnd w:id="3"/>
      <w:r>
        <w:t>ПЕРЕЧЕНЬ</w:t>
      </w:r>
    </w:p>
    <w:p w:rsidR="007021BA" w:rsidRDefault="007021BA">
      <w:pPr>
        <w:pStyle w:val="ConsPlusTitle"/>
        <w:jc w:val="center"/>
      </w:pPr>
      <w:r>
        <w:t>ОБЯЗАТЕЛЬНОЙ ИНФОРМАЦИИ О СИСТЕМЕ ОБРАЗОВАНИЯ,</w:t>
      </w:r>
    </w:p>
    <w:p w:rsidR="007021BA" w:rsidRDefault="007021BA">
      <w:pPr>
        <w:pStyle w:val="ConsPlusTitle"/>
        <w:jc w:val="center"/>
      </w:pPr>
      <w:r>
        <w:t>ПОДЛЕЖАЩЕЙ МОНИТОРИНГУ</w:t>
      </w:r>
    </w:p>
    <w:p w:rsidR="007021BA" w:rsidRDefault="007021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2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1BA" w:rsidRDefault="00702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1BA" w:rsidRDefault="007021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21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7021BA" w:rsidRDefault="007021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22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21BA" w:rsidRDefault="007021BA">
      <w:pPr>
        <w:pStyle w:val="ConsPlusNormal"/>
        <w:jc w:val="center"/>
      </w:pPr>
    </w:p>
    <w:p w:rsidR="007021BA" w:rsidRDefault="007021BA">
      <w:pPr>
        <w:pStyle w:val="ConsPlusTitle"/>
        <w:jc w:val="center"/>
        <w:outlineLvl w:val="1"/>
      </w:pPr>
      <w:r>
        <w:t>I. Общее образование</w:t>
      </w:r>
    </w:p>
    <w:p w:rsidR="007021BA" w:rsidRDefault="007021BA">
      <w:pPr>
        <w:pStyle w:val="ConsPlusNormal"/>
        <w:jc w:val="center"/>
      </w:pPr>
    </w:p>
    <w:p w:rsidR="007021BA" w:rsidRDefault="007021BA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условия получения дошкольного образования лицами с ограниченными возможностями здоровья и инвалидами;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финансово-экономическая деятельность дошкольных образовательных организаций;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в) кадровое обеспечение общеобразовательных организаций, иных организаций, </w:t>
      </w:r>
      <w:r>
        <w:lastRenderedPageBreak/>
        <w:t>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Title"/>
        <w:jc w:val="center"/>
        <w:outlineLvl w:val="1"/>
      </w:pPr>
      <w:r>
        <w:t>II. Профессиональное образование</w:t>
      </w: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lastRenderedPageBreak/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4. Сведения о развитии высшего образования: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7021BA" w:rsidRDefault="007021BA">
      <w:pPr>
        <w:pStyle w:val="ConsPlusNormal"/>
        <w:jc w:val="center"/>
      </w:pPr>
    </w:p>
    <w:p w:rsidR="007021BA" w:rsidRDefault="007021BA">
      <w:pPr>
        <w:pStyle w:val="ConsPlusTitle"/>
        <w:jc w:val="center"/>
        <w:outlineLvl w:val="1"/>
      </w:pPr>
      <w:r>
        <w:t>III. Дополнительное образование</w:t>
      </w:r>
    </w:p>
    <w:p w:rsidR="007021BA" w:rsidRDefault="007021BA">
      <w:pPr>
        <w:pStyle w:val="ConsPlusNormal"/>
        <w:jc w:val="center"/>
      </w:pPr>
    </w:p>
    <w:p w:rsidR="007021BA" w:rsidRDefault="007021BA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lastRenderedPageBreak/>
        <w:t>а) численность населения, обучающегося по дополнительным общеобразовательным программам;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</w:t>
      </w:r>
      <w:r>
        <w:lastRenderedPageBreak/>
        <w:t>дополнительных профессиональных программ;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7021BA" w:rsidRDefault="007021BA">
      <w:pPr>
        <w:pStyle w:val="ConsPlusNormal"/>
        <w:jc w:val="center"/>
      </w:pPr>
    </w:p>
    <w:p w:rsidR="007021BA" w:rsidRDefault="007021BA">
      <w:pPr>
        <w:pStyle w:val="ConsPlusTitle"/>
        <w:jc w:val="center"/>
        <w:outlineLvl w:val="1"/>
      </w:pPr>
      <w:r>
        <w:t>IV. Профессиональное обучение</w:t>
      </w: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условия профессионального обучения лиц с ограниченными возможностями здоровья и инвалидов;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7021BA" w:rsidRDefault="007021B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7021BA" w:rsidRDefault="007021BA">
      <w:pPr>
        <w:pStyle w:val="ConsPlusNormal"/>
        <w:jc w:val="center"/>
      </w:pPr>
    </w:p>
    <w:p w:rsidR="007021BA" w:rsidRDefault="007021BA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7021BA" w:rsidRDefault="007021BA">
      <w:pPr>
        <w:pStyle w:val="ConsPlusNormal"/>
        <w:jc w:val="center"/>
      </w:pPr>
    </w:p>
    <w:p w:rsidR="007021BA" w:rsidRDefault="007021BA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интеграция образования и науки;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численность иностранных педагогических и научных работников;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7021BA" w:rsidRDefault="007021BA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lastRenderedPageBreak/>
        <w:t>10. Развитие системы оценки качества образования и информационной прозрачности системы образования: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оценка деятельности системы образования гражданами;</w:t>
      </w:r>
    </w:p>
    <w:p w:rsidR="007021BA" w:rsidRDefault="007021BA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7021BA" w:rsidRDefault="007021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г) развитие региональных систем оценки качества образования.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в) образование и занятость молодежи;</w:t>
      </w:r>
    </w:p>
    <w:p w:rsidR="007021BA" w:rsidRDefault="007021BA">
      <w:pPr>
        <w:pStyle w:val="ConsPlusNormal"/>
        <w:spacing w:before="22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ind w:firstLine="540"/>
        <w:jc w:val="both"/>
      </w:pPr>
    </w:p>
    <w:p w:rsidR="007021BA" w:rsidRDefault="00702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E4D" w:rsidRDefault="00151E4D"/>
    <w:sectPr w:rsidR="00151E4D" w:rsidSect="0014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021BA"/>
    <w:rsid w:val="00151E4D"/>
    <w:rsid w:val="0070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A3EB6E442B4CCA7ED5F749AA8B639962A40557752682C2AB8FD264983451FED0F9B84F7A327B98324E77FCC10F27F06551B948595B651u5OCO" TargetMode="External"/><Relationship Id="rId13" Type="http://schemas.openxmlformats.org/officeDocument/2006/relationships/hyperlink" Target="consultantplus://offline/ref=3DFA3EB6E442B4CCA7ED5F749AA8B639962A45547755682C2AB8FD264983451FED0F9B84F7A227BE8324E77FCC10F27F06551B948595B651u5OCO" TargetMode="External"/><Relationship Id="rId18" Type="http://schemas.openxmlformats.org/officeDocument/2006/relationships/hyperlink" Target="consultantplus://offline/ref=3DFA3EB6E442B4CCA7ED5F749AA8B639962C445A7A55682C2AB8FD264983451FED0F9B84F7A327BA8024E77FCC10F27F06551B948595B651u5OC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FA3EB6E442B4CCA7ED5F749AA8B639962C415B7B52682C2AB8FD264983451FED0F9B84F7A327B98224E77FCC10F27F06551B948595B651u5OCO" TargetMode="External"/><Relationship Id="rId7" Type="http://schemas.openxmlformats.org/officeDocument/2006/relationships/hyperlink" Target="consultantplus://offline/ref=3DFA3EB6E442B4CCA7ED5F749AA8B639962C445A7A55682C2AB8FD264983451FED0F9B84F7A327B88A24E77FCC10F27F06551B948595B651u5OCO" TargetMode="External"/><Relationship Id="rId12" Type="http://schemas.openxmlformats.org/officeDocument/2006/relationships/hyperlink" Target="consultantplus://offline/ref=3DFA3EB6E442B4CCA7ED5F749AA8B639962A45547755682C2AB8FD264983451FED0F9B84F7A326BF8524E77FCC10F27F06551B948595B651u5OCO" TargetMode="External"/><Relationship Id="rId17" Type="http://schemas.openxmlformats.org/officeDocument/2006/relationships/hyperlink" Target="consultantplus://offline/ref=3DFA3EB6E442B4CCA7ED5F749AA8B6399428485A7A52682C2AB8FD264983451FED0F9B84F7A327B98224E77FCC10F27F06551B948595B651u5OC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A3EB6E442B4CCA7ED5F749AA8B639962C445A7A55682C2AB8FD264983451FED0F9B84F7A327BA8124E77FCC10F27F06551B948595B651u5OCO" TargetMode="External"/><Relationship Id="rId20" Type="http://schemas.openxmlformats.org/officeDocument/2006/relationships/hyperlink" Target="consultantplus://offline/ref=3DFA3EB6E442B4CCA7ED5F749AA8B639962C445A7A55682C2AB8FD264983451FED0F9B84F7A327BA8424E77FCC10F27F06551B948595B651u5O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A3EB6E442B4CCA7ED5F749AA8B639962A45547755682C2AB8FD264983451FED0F9B84F7A224BA8124E77FCC10F27F06551B948595B651u5OCO" TargetMode="External"/><Relationship Id="rId11" Type="http://schemas.openxmlformats.org/officeDocument/2006/relationships/hyperlink" Target="consultantplus://offline/ref=3DFA3EB6E442B4CCA7ED5F749AA8B639962C445A7A55682C2AB8FD264983451FED0F9B84F7A327B98324E77FCC10F27F06551B948595B651u5OCO" TargetMode="External"/><Relationship Id="rId24" Type="http://schemas.openxmlformats.org/officeDocument/2006/relationships/hyperlink" Target="consultantplus://offline/ref=3DFA3EB6E442B4CCA7ED5F749AA8B639962C445A7A55682C2AB8FD264983451FED0F9B84F7A327BB8324E77FCC10F27F06551B948595B651u5OCO" TargetMode="External"/><Relationship Id="rId5" Type="http://schemas.openxmlformats.org/officeDocument/2006/relationships/hyperlink" Target="consultantplus://offline/ref=3DFA3EB6E442B4CCA7ED5F749AA8B639962C445A7A55682C2AB8FD264983451FED0F9B84F7A327B88624E77FCC10F27F06551B948595B651u5OCO" TargetMode="External"/><Relationship Id="rId15" Type="http://schemas.openxmlformats.org/officeDocument/2006/relationships/hyperlink" Target="consultantplus://offline/ref=3DFA3EB6E442B4CCA7ED5F749AA8B639962C445A7A55682C2AB8FD264983451FED0F9B84F7A327B98724E77FCC10F27F06551B948595B651u5OCO" TargetMode="External"/><Relationship Id="rId23" Type="http://schemas.openxmlformats.org/officeDocument/2006/relationships/hyperlink" Target="consultantplus://offline/ref=3DFA3EB6E442B4CCA7ED5F749AA8B639962C415B7B52682C2AB8FD264983451FED0F9B84F7A327B98224E77FCC10F27F06551B948595B651u5OCO" TargetMode="External"/><Relationship Id="rId10" Type="http://schemas.openxmlformats.org/officeDocument/2006/relationships/hyperlink" Target="consultantplus://offline/ref=3DFA3EB6E442B4CCA7ED5F749AA8B639962A405A7453682C2AB8FD264983451FED0F9B84F7A327B08424E77FCC10F27F06551B948595B651u5OCO" TargetMode="External"/><Relationship Id="rId19" Type="http://schemas.openxmlformats.org/officeDocument/2006/relationships/hyperlink" Target="consultantplus://offline/ref=3DFA3EB6E442B4CCA7ED5F749AA8B639962C445A7A55682C2AB8FD264983451FED0F9B84F7A327BA8624E77FCC10F27F06551B948595B651u5OCO" TargetMode="External"/><Relationship Id="rId4" Type="http://schemas.openxmlformats.org/officeDocument/2006/relationships/hyperlink" Target="consultantplus://offline/ref=3DFA3EB6E442B4CCA7ED5F749AA8B639962C415B7B52682C2AB8FD264983451FED0F9B84F7A327B98224E77FCC10F27F06551B948595B651u5OCO" TargetMode="External"/><Relationship Id="rId9" Type="http://schemas.openxmlformats.org/officeDocument/2006/relationships/hyperlink" Target="consultantplus://offline/ref=3DFA3EB6E442B4CCA7ED5F749AA8B639962A405A7453682C2AB8FD264983451FED0F9B84F7A327BD8124E77FCC10F27F06551B948595B651u5OCO" TargetMode="External"/><Relationship Id="rId14" Type="http://schemas.openxmlformats.org/officeDocument/2006/relationships/hyperlink" Target="consultantplus://offline/ref=3DFA3EB6E442B4CCA7ED5F749AA8B639962A45547755682C2AB8FD264983451FFF0FC388F7A139B88031B12E8Au4O5O" TargetMode="External"/><Relationship Id="rId22" Type="http://schemas.openxmlformats.org/officeDocument/2006/relationships/hyperlink" Target="consultantplus://offline/ref=3DFA3EB6E442B4CCA7ED5F749AA8B639962C445A7A55682C2AB8FD264983451FED0F9B84F7A327BB8324E77FCC10F27F06551B948595B651u5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4421</Words>
  <Characters>25204</Characters>
  <Application>Microsoft Office Word</Application>
  <DocSecurity>0</DocSecurity>
  <Lines>210</Lines>
  <Paragraphs>59</Paragraphs>
  <ScaleCrop>false</ScaleCrop>
  <Company>Microsoft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Asmina</dc:creator>
  <cp:lastModifiedBy>Asmina</cp:lastModifiedBy>
  <cp:revision>1</cp:revision>
  <dcterms:created xsi:type="dcterms:W3CDTF">2020-03-02T14:14:00Z</dcterms:created>
  <dcterms:modified xsi:type="dcterms:W3CDTF">2020-03-02T14:15:00Z</dcterms:modified>
</cp:coreProperties>
</file>