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72" w:rsidRPr="00FD0672" w:rsidRDefault="00FD0672" w:rsidP="00FD0672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bookmarkStart w:id="0" w:name="_GoBack"/>
      <w:r w:rsidRPr="00FD0672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Борьба с терроризмом</w:t>
      </w:r>
      <w:bookmarkEnd w:id="0"/>
      <w:r w:rsidRPr="00FD0672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 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1"/>
          <w:szCs w:val="21"/>
          <w:lang w:eastAsia="ru-RU"/>
        </w:rPr>
        <w:t> 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Борьба с терроризмом — серьезная проблема, требующая глубокого и всестороннего изучения.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«Террор» в русском языке определяется как устрашение противника путем физического насилия, вплоть до уничтожения, а терроризм — это применение террора на практике. Действия террористов не всегда связаны с убийством, но всегда подразумевают насилие, принуждение, угрозу. Раз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личными могут быть и цели: от сугубо корыстных, в основе которых лежит жажда наживы, до политических, вплоть до свержения государственного строя. Террористические действия совершаются и ради идеи.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5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Во всех случаях они наносят серьезную угрозу как безопасности граж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дан, так и государственной безопасности в целом.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3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Для успешного противодействия терроризму каждый гражданин любо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го государства должен быть вооружен антитеррористическими знаниями и навыками, необходимыми для обеспечения личной и общественной безо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пасности в современных условиях.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Терроризм будет легче победить, если всесторонне изучить его исто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рию, условия и причины распространения.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Современный терроризм — это враг всего человечества, враг цивили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зации. А чтобы бороться с врагом, его надо знать. Надо знать методы и средства, которые используют террористы.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Изучению истории терроризма, причин и условий возникновения, способов действия и вооружения террористов посвящена первая глава учебного пособия. В этой же главе приведена всесторонняя классифика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ция терроризма, проанализированы особенности терроризма в России.</w:t>
      </w:r>
    </w:p>
    <w:p w:rsidR="00FD0672" w:rsidRPr="00FD0672" w:rsidRDefault="00FD0672" w:rsidP="00FD0672">
      <w:pPr>
        <w:shd w:val="clear" w:color="auto" w:fill="FFFAF6"/>
        <w:spacing w:before="240" w:after="240" w:line="315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t>Российская Федерация выступает инициатором объединения усилий всех государств в борьбе с терроризмом. О государственном противодей</w:t>
      </w: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softHyphen/>
        <w:t>ствии терроризму, о законодательной базе по борьбе с терроризмом, об антитеррористических структурах в Российской Федерации и о способах борьбы с терроризмом – цель выступления!</w:t>
      </w:r>
    </w:p>
    <w:p w:rsidR="00FD0672" w:rsidRPr="00FD0672" w:rsidRDefault="00FD0672" w:rsidP="00FD06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D0672" w:rsidRPr="00FD0672" w:rsidRDefault="00FD0672" w:rsidP="00FD0672">
      <w:pPr>
        <w:shd w:val="clear" w:color="auto" w:fill="FFFAF6"/>
        <w:spacing w:before="240" w:after="240" w:line="330" w:lineRule="atLeast"/>
        <w:ind w:firstLine="73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0672">
        <w:rPr>
          <w:rFonts w:ascii="Georgia" w:eastAsia="Times New Roman" w:hAnsi="Georgia" w:cs="Tahoma"/>
          <w:i/>
          <w:iCs/>
          <w:color w:val="5A5A5A"/>
          <w:sz w:val="28"/>
          <w:szCs w:val="28"/>
          <w:lang w:eastAsia="ru-RU"/>
        </w:rPr>
        <w:lastRenderedPageBreak/>
        <w:t>Террористы не обращают внимания на возраст своих жертв. Поэтому каждый гражданин как можно раньше, еще со школьных лет, должен быть готовым к действиям в любых экстремальных ситуациях, которые может создать проявление терроризма. </w:t>
      </w:r>
    </w:p>
    <w:p w:rsidR="0029324F" w:rsidRDefault="0029324F"/>
    <w:sectPr w:rsidR="0029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5F"/>
    <w:rsid w:val="0018155F"/>
    <w:rsid w:val="0029324F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292C-B652-46C4-B3F0-3294663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1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297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diakov.net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2018-02-24T15:43:00Z</dcterms:created>
  <dcterms:modified xsi:type="dcterms:W3CDTF">2018-02-24T15:44:00Z</dcterms:modified>
</cp:coreProperties>
</file>