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4A" w:rsidRPr="002A6B4A" w:rsidRDefault="002A6B4A" w:rsidP="002A6B4A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2B526E"/>
          <w:sz w:val="45"/>
          <w:szCs w:val="45"/>
          <w:lang w:eastAsia="ru-RU"/>
        </w:rPr>
      </w:pPr>
      <w:bookmarkStart w:id="0" w:name="_GoBack"/>
      <w:r w:rsidRPr="002A6B4A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Профилактика экстремизма</w:t>
      </w:r>
      <w:bookmarkEnd w:id="0"/>
      <w:r w:rsidRPr="002A6B4A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 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Экстремизм – это сложная и неоднородная форма выражения ненависти и вражды. Различают следующие виды экстремизма: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t>• политический;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br/>
      </w: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t>• национальный;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br/>
      </w: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t>• религиозный.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t>Национальный экстремизм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 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br/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br/>
        <w:t>Под </w:t>
      </w: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t>религиозным экстремизмом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 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br/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br/>
      </w: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t>Политический экстремизм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 – это движения или течения против существующего конституционного строя.</w:t>
      </w:r>
    </w:p>
    <w:p w:rsidR="002A6B4A" w:rsidRPr="002A6B4A" w:rsidRDefault="002A6B4A" w:rsidP="002A6B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6B4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t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 лет.</w:t>
      </w:r>
    </w:p>
    <w:p w:rsidR="002A6B4A" w:rsidRPr="002A6B4A" w:rsidRDefault="002A6B4A" w:rsidP="002A6B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br w:type="textWrapping" w:clear="all"/>
      </w:r>
      <w:r w:rsidRPr="002A6B4A">
        <w:rPr>
          <w:rFonts w:ascii="Arial" w:eastAsia="Times New Roman" w:hAnsi="Arial" w:cs="Arial"/>
          <w:b/>
          <w:bCs/>
          <w:noProof/>
          <w:color w:val="2B526E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6364C1ED" wp14:editId="75ADDD2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2" name="Рисунок 2" descr="http://rutul1.dagestanschool.ru/images/dagscrutul1_new/T60e845b585bca6e40c13b3853aec2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tul1.dagestanschool.ru/images/dagscrutul1_new/T60e845b585bca6e40c13b3853aec21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br w:type="textWrapping" w:clear="all"/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center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t>Преступления экстремистской направленности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 xml:space="preserve">К преступлениям экстремистской направленности относятся: публичные призывы к осуществлению экстремистской деятельности; 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lastRenderedPageBreak/>
        <w:t>возбуждение ненависти или вражды, а равно унижение человеческого достоинства, организация экстремистского сообщества и т.д.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t>Проявления экстремистской деятельности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• Терроризм – это крайнее проявление экстремизма явление, связанное с насилием, угрожающее жизни и здоровью граждан. 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br/>
        <w:t>• Национализм – это форма общественного единства, основанная на идее национального превосходства и национальной исключительности. 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br/>
        <w:t>• Расизм 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 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br/>
        <w:t>• Фашизм 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  </w:t>
      </w:r>
    </w:p>
    <w:p w:rsidR="002A6B4A" w:rsidRPr="002A6B4A" w:rsidRDefault="002A6B4A" w:rsidP="002A6B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6B4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t>Уголовная ответственность за данные преступления возникает с 16 лет. 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2A6B4A" w:rsidRPr="002A6B4A" w:rsidRDefault="002A6B4A" w:rsidP="002A6B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br w:type="textWrapping" w:clear="all"/>
      </w:r>
      <w:r w:rsidRPr="002A6B4A">
        <w:rPr>
          <w:rFonts w:ascii="Arial" w:eastAsia="Times New Roman" w:hAnsi="Arial" w:cs="Arial"/>
          <w:b/>
          <w:bCs/>
          <w:noProof/>
          <w:color w:val="2B526E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2B709A42" wp14:editId="672349D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0" cy="3248025"/>
            <wp:effectExtent l="0" t="0" r="0" b="9525"/>
            <wp:wrapSquare wrapText="bothSides"/>
            <wp:docPr id="3" name="Рисунок 3" descr="http://rutul1.dagestanschool.ru/images/dagscrutul1_new/NR5405dfe0f28ac106b5aaa7106337ae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tul1.dagestanschool.ru/images/dagscrutul1_new/NR5405dfe0f28ac106b5aaa7106337ae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br w:type="textWrapping" w:clear="all"/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center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b/>
          <w:bCs/>
          <w:color w:val="34495E"/>
          <w:sz w:val="27"/>
          <w:szCs w:val="27"/>
          <w:lang w:eastAsia="ru-RU"/>
        </w:rPr>
        <w:t>ПАМЯТКА ПО ПРОФИЛАКТИКЕ ЭКСТРЕМИЗМА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7"/>
          <w:szCs w:val="27"/>
          <w:lang w:eastAsia="ru-RU"/>
        </w:rPr>
        <w:lastRenderedPageBreak/>
        <w:t> 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«Правило четырех «не»: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  Не разговаривай с незнакомцами и не впускай их в дом.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  Не заходи с ними в лифт и подъезд.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  Не садись в машину к незнакомцам.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 Не задерживайся на улице после школы, особенно с наступлением темноты.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t>А если незнакомец просто просит показать нужную улицу или поднести сумку, проводить к магазину?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t>Все равно скажи – НЕТ!</w:t>
      </w: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          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Объясни, как найти улицу, но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 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t>В каких ситуациях всегда отвечать «НЕТ!»: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  Если тебе предлагают зайти в гости или подвезти до дома, пусть даже это соседи.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 Если за тобой в школу или детский сад пришел посторонний, а родители не предупреждали об этом заранее.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  Если в отсутствие родителей пришел малознакомый человек, впускать его в квартиру или идти с ним куда-то.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  Если новый знакомый угощает чем-то.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Очень часто преступники пользуются доверчивостью детей. Предлагают подвезти до дома или посмотреть животное, поиграть в любимую игру.                   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center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t>Соглашаться на это нельзя ни в коем случае!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i/>
          <w:iCs/>
          <w:color w:val="34495E"/>
          <w:sz w:val="28"/>
          <w:szCs w:val="28"/>
          <w:lang w:eastAsia="ru-RU"/>
        </w:rPr>
        <w:t> Что нужно знать, чтобы не стать жертвой: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 Если тебя спрашивают, как найти улицу, объясни, как дойти, но ни в коем случае не провожай.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 Если незнакомец предлагает тебе посмотреть что-то или помочь донести сумку, обещая заплатить, отвечай «Нет!».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lastRenderedPageBreak/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 Если рядом с тобой тормозит машина, как можно дальше отойди от нее и ни в коем случае не садись в нее.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 Если человек не отстает от тебя, подойти к любому дому и сделай вид, что это твой дом, помаши рукой и позови родственников, которых как будто видишь в окне.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Преступник не всегда имеет страшное лицо. Любой маньяк умеет превращаться и на время становиться добрым и милым дядей.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center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t>   Поэтому наш совет: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 xml:space="preserve"> - на все уговоры пойти куда-то, чтобы посмотреть что-то, или поиграть, надо ответить «Нет!», даже если очень интересно. А, придя </w:t>
      </w:r>
      <w:proofErr w:type="gramStart"/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домой,  надо</w:t>
      </w:r>
      <w:proofErr w:type="gramEnd"/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 xml:space="preserve"> обязательно рассказать взрослым об этом человеке.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Но как быть, если взрослый очень настойчив?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Если он говорит тебе: «Я думал, что ты уже большой, а тебе, оказывается, мама не разрешает!». Это очень опасно! От такого человека надо бежать, сломя голову. И, придя домой, обязательно рассказать об этом родителям.                      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t>Правила поведения на улице: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 xml:space="preserve">-  Если приходится идти вечером в одиночку, шагай быстро и уверенно и не показывай страха; можно подойти к женщине, которая вызывает доверие, или к </w:t>
      </w:r>
      <w:proofErr w:type="gramStart"/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пожилой  паре</w:t>
      </w:r>
      <w:proofErr w:type="gramEnd"/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 xml:space="preserve"> и идти рядом с ними.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 xml:space="preserve">-  </w:t>
      </w:r>
      <w:proofErr w:type="gramStart"/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В</w:t>
      </w:r>
      <w:proofErr w:type="gramEnd"/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 xml:space="preserve"> автобусе, трамвае, метро,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 Не голосуй на дороге и не отвечай на предложение подвести или просьбу показать, как проехать туда-то. Ни в коем случае не садись в машину, чтобы показать дорогу.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  Не ходи в отдаленные и безлюдные места.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center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t>Правила поведения в своем доме: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  Перед тем как открыть дверь, обязательно посмотри в дверной глазок. Впускай в квартиру только хорошо знакомых людей.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 xml:space="preserve">- Покидая квартиру, также посмотри в глазок. Если на лестничной площадке есть люди, </w:t>
      </w:r>
      <w:proofErr w:type="gramStart"/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подожди,  пока</w:t>
      </w:r>
      <w:proofErr w:type="gramEnd"/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 xml:space="preserve"> они не уйдут.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lastRenderedPageBreak/>
        <w:t>- Если без вызова пришел сантехник или электрик, прежде чем его впустить, позвони в диспетчерскую, обслуживающую ваш дом, и наведи справки.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 Если возвращаясь домой, ты чувствуешь, что тебя преследуют, не входи в дом, а вернись в многолюдное место, и попроси помощи.</w:t>
      </w:r>
    </w:p>
    <w:p w:rsidR="002A6B4A" w:rsidRPr="002A6B4A" w:rsidRDefault="002A6B4A" w:rsidP="002A6B4A">
      <w:pPr>
        <w:shd w:val="clear" w:color="auto" w:fill="FFFFFF"/>
        <w:spacing w:before="150" w:after="150" w:line="330" w:lineRule="atLeast"/>
        <w:jc w:val="both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2A6B4A">
        <w:rPr>
          <w:rFonts w:ascii="Arial" w:eastAsia="Times New Roman" w:hAnsi="Arial" w:cs="Arial"/>
          <w:color w:val="34495E"/>
          <w:sz w:val="28"/>
          <w:szCs w:val="28"/>
          <w:lang w:eastAsia="ru-RU"/>
        </w:rPr>
        <w:t>- Прежде чем открывать ключом входную дверь, убедись, что поблизости никого нет.</w:t>
      </w:r>
    </w:p>
    <w:p w:rsidR="002A6B4A" w:rsidRPr="002A6B4A" w:rsidRDefault="002A6B4A" w:rsidP="002A6B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6B4A">
        <w:rPr>
          <w:rFonts w:ascii="Arial" w:eastAsia="Times New Roman" w:hAnsi="Arial" w:cs="Arial"/>
          <w:b/>
          <w:bCs/>
          <w:noProof/>
          <w:color w:val="2B526E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19DAA4CE" wp14:editId="5D8C9BC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0" cy="3248025"/>
            <wp:effectExtent l="0" t="0" r="0" b="9525"/>
            <wp:wrapSquare wrapText="bothSides"/>
            <wp:docPr id="4" name="Рисунок 4" descr="http://rutul1.dagestanschool.ru/images/dagscrutul1_new/NR5405dfe0f28ac106b5aaa7106337ae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tul1.dagestanschool.ru/images/dagscrutul1_new/NR5405dfe0f28ac106b5aaa7106337ae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B4A">
        <w:rPr>
          <w:rFonts w:ascii="Arial" w:eastAsia="Times New Roman" w:hAnsi="Arial" w:cs="Arial"/>
          <w:b/>
          <w:bCs/>
          <w:color w:val="34495E"/>
          <w:sz w:val="28"/>
          <w:szCs w:val="28"/>
          <w:lang w:eastAsia="ru-RU"/>
        </w:rPr>
        <w:br w:type="textWrapping" w:clear="all"/>
      </w:r>
    </w:p>
    <w:p w:rsidR="002A6B4A" w:rsidRPr="002A6B4A" w:rsidRDefault="002A6B4A" w:rsidP="002A6B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6B4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B1EC7" w:rsidRDefault="003B1EC7"/>
    <w:sectPr w:rsidR="003B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BA"/>
    <w:rsid w:val="002A6B4A"/>
    <w:rsid w:val="003B1EC7"/>
    <w:rsid w:val="0041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64E7F-A42B-4F62-8D5A-FEF31CB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0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5555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5320</Characters>
  <Application>Microsoft Office Word</Application>
  <DocSecurity>0</DocSecurity>
  <Lines>44</Lines>
  <Paragraphs>12</Paragraphs>
  <ScaleCrop>false</ScaleCrop>
  <Company>diakov.net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2018-02-24T15:41:00Z</dcterms:created>
  <dcterms:modified xsi:type="dcterms:W3CDTF">2018-02-24T15:42:00Z</dcterms:modified>
</cp:coreProperties>
</file>